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2024 R026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l’AR Toots Thielemans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l’AR Toots Thielemans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Chef/fe d’atelier,  si vous êtes lauréat/lauréate de cette procédure, quelles sont les actions prioritaires que vous mettriez en place afin d’apporter un soutien aux équipes de l’AR Toots Thielemans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l’AR Toots Thielemans 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center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tabs>
        <w:tab w:val="center" w:pos="4252"/>
        <w:tab w:val="left" w:pos="5749"/>
      </w:tabs>
      <w:ind w:left="-567"/>
      <w:rPr>
        <w:sz w:val="16"/>
        <w:szCs w:val="16"/>
      </w:rPr>
    </w:pPr>
    <w:r>
      <w:rPr>
        <w:sz w:val="16"/>
        <w:szCs w:val="16"/>
      </w:rPr>
      <w:tab/>
      <w:t>Chef/fe d’atelier -  Référence : WBE CA 2024 R026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VK17ctSmTPYjCBkog9PnGq36DzGVnDCuC7cqi+8KKPQUNu3X6hfxDpWz0LQehHe29JBEa/ErVsixQ2b24pNs4w==" w:salt="XmrCkeYgGya/kTCJEvLVh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BFF8-6DEC-478E-9709-34710D5C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821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2024-10-17T07:34:00Z</dcterms:created>
  <dcterms:modified xsi:type="dcterms:W3CDTF">2024-10-17T07:34:00Z</dcterms:modified>
</cp:coreProperties>
</file>